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84" w:rsidRDefault="00F41FF3" w:rsidP="00971FF5">
      <w:pPr>
        <w:pStyle w:val="Title"/>
      </w:pPr>
      <w:r>
        <w:t xml:space="preserve">World </w:t>
      </w:r>
      <w:r w:rsidR="00A000CB">
        <w:t>HTLV</w:t>
      </w:r>
      <w:r>
        <w:t xml:space="preserve"> Day November 10</w:t>
      </w:r>
      <w:r w:rsidRPr="00F41FF3">
        <w:rPr>
          <w:vertAlign w:val="superscript"/>
        </w:rPr>
        <w:t>th</w:t>
      </w:r>
      <w:r>
        <w:t xml:space="preserve"> 2023: </w:t>
      </w:r>
      <w:r w:rsidR="00A000CB">
        <w:t>Remember to test</w:t>
      </w:r>
    </w:p>
    <w:p w:rsidR="00C21A3B" w:rsidRDefault="00C21A3B" w:rsidP="00C21A3B"/>
    <w:p w:rsidR="00C21A3B" w:rsidRPr="00C21A3B" w:rsidRDefault="00C21A3B" w:rsidP="00C21A3B">
      <w:r>
        <w:rPr>
          <w:noProof/>
          <w:lang w:eastAsia="en-GB"/>
        </w:rPr>
        <w:drawing>
          <wp:inline distT="0" distB="0" distL="0" distR="0">
            <wp:extent cx="1410645" cy="1333500"/>
            <wp:effectExtent l="0" t="0" r="0" b="0"/>
            <wp:docPr id="2" name="Picture 2" descr="Human T-Leukemia Virus (HTLV): conosci i virus della Leucemia 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T-Leukemia Virus (HTLV): conosci i virus della Leucemia Uma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1609" cy="1353317"/>
                    </a:xfrm>
                    <a:prstGeom prst="rect">
                      <a:avLst/>
                    </a:prstGeom>
                    <a:noFill/>
                    <a:ln>
                      <a:noFill/>
                    </a:ln>
                  </pic:spPr>
                </pic:pic>
              </a:graphicData>
            </a:graphic>
          </wp:inline>
        </w:drawing>
      </w:r>
      <w:r w:rsidR="009A31AA">
        <w:t xml:space="preserve"> htlv.net</w:t>
      </w:r>
      <w:bookmarkStart w:id="0" w:name="_GoBack"/>
      <w:bookmarkEnd w:id="0"/>
    </w:p>
    <w:p w:rsidR="009A31AA" w:rsidRDefault="009A31AA" w:rsidP="00971FF5"/>
    <w:p w:rsidR="0075618B" w:rsidRDefault="00A01D1E" w:rsidP="00971FF5">
      <w:r>
        <w:t>World HTLV Day 2023</w:t>
      </w:r>
      <w:r w:rsidR="00971FF5">
        <w:t>, on November 10</w:t>
      </w:r>
      <w:r w:rsidR="00971FF5" w:rsidRPr="00971FF5">
        <w:rPr>
          <w:vertAlign w:val="superscript"/>
        </w:rPr>
        <w:t>th</w:t>
      </w:r>
      <w:r w:rsidR="00971FF5">
        <w:t xml:space="preserve"> is</w:t>
      </w:r>
      <w:r>
        <w:t xml:space="preserve"> an opportunity to increase awareness of this preventable </w:t>
      </w:r>
      <w:r w:rsidR="00F11BA7">
        <w:t xml:space="preserve">viral </w:t>
      </w:r>
      <w:r w:rsidR="00971FF5">
        <w:t>infection, which</w:t>
      </w:r>
      <w:r>
        <w:t xml:space="preserve"> can cause </w:t>
      </w:r>
      <w:r w:rsidR="00971FF5">
        <w:t>an aggressive cancer of the blood or inflammation of the spinal cord.</w:t>
      </w:r>
      <w:r>
        <w:t xml:space="preserve"> </w:t>
      </w:r>
    </w:p>
    <w:p w:rsidR="00971FF5" w:rsidRDefault="0075618B" w:rsidP="0075618B">
      <w:pPr>
        <w:ind w:left="720" w:hanging="720"/>
      </w:pPr>
      <w:r>
        <w:t>HTLV was the first oncogenic human retrovirus to be discovered.</w:t>
      </w:r>
      <w:r w:rsidR="00A01D1E">
        <w:t xml:space="preserve"> </w:t>
      </w:r>
    </w:p>
    <w:p w:rsidR="00971FF5" w:rsidRDefault="00971FF5" w:rsidP="00971FF5">
      <w:r>
        <w:t>In the UK, an estimated 36</w:t>
      </w:r>
      <w:r w:rsidR="00045E2A">
        <w:t>,</w:t>
      </w:r>
      <w:r>
        <w:t xml:space="preserve">000 people have the infection.  Globally, at least 5-10 million are infected.  </w:t>
      </w:r>
      <w:r w:rsidR="0075618B">
        <w:t>However,</w:t>
      </w:r>
      <w:r>
        <w:t xml:space="preserve"> these numbers are an </w:t>
      </w:r>
      <w:r w:rsidR="0075618B">
        <w:t>underestimate,</w:t>
      </w:r>
      <w:r>
        <w:t xml:space="preserve"> as most parts of the world, including the UK</w:t>
      </w:r>
      <w:r w:rsidR="0075618B">
        <w:t>, do</w:t>
      </w:r>
      <w:r>
        <w:t xml:space="preserve"> not routinely screen for this virus.</w:t>
      </w:r>
    </w:p>
    <w:p w:rsidR="00045E2A" w:rsidRDefault="00045E2A" w:rsidP="00971FF5">
      <w:r>
        <w:t>Whilst it is found clustered in certain parts of the world, it can infect anyone.  HTLV can be detected by a simple blood test.</w:t>
      </w:r>
    </w:p>
    <w:p w:rsidR="00971FF5" w:rsidRDefault="00971FF5" w:rsidP="00971FF5">
      <w:r>
        <w:t>It is transmitted, like other blood borne viruses, via breastmilk, sex, contaminated blood and equipment.  Unlike other blood borne viruses, it is not screened for</w:t>
      </w:r>
      <w:r w:rsidR="00F11BA7">
        <w:t xml:space="preserve"> routinely</w:t>
      </w:r>
      <w:r>
        <w:t xml:space="preserve"> in antenatal clinics or sexual health clinics.  </w:t>
      </w:r>
      <w:r w:rsidR="00045E2A">
        <w:t xml:space="preserve">There is government guidance in place for screening the </w:t>
      </w:r>
      <w:hyperlink r:id="rId5" w:history="1">
        <w:r w:rsidR="00045E2A" w:rsidRPr="00045E2A">
          <w:rPr>
            <w:rStyle w:val="Hyperlink"/>
          </w:rPr>
          <w:t>migrant population</w:t>
        </w:r>
      </w:hyperlink>
      <w:r w:rsidR="00045E2A">
        <w:t xml:space="preserve">, in particular </w:t>
      </w:r>
      <w:hyperlink r:id="rId6" w:history="1">
        <w:r w:rsidR="00045E2A" w:rsidRPr="00045E2A">
          <w:rPr>
            <w:rStyle w:val="Hyperlink"/>
          </w:rPr>
          <w:t>women</w:t>
        </w:r>
      </w:hyperlink>
      <w:r w:rsidR="00045E2A">
        <w:t>.</w:t>
      </w:r>
    </w:p>
    <w:p w:rsidR="0075618B" w:rsidRDefault="0075618B" w:rsidP="00971FF5">
      <w:r>
        <w:t>The majority of infection is undetected in the UK.  An undetected virus will continue to spread and this is reflected by an increase in the estimated prevalence in England and Wales.  Condom use and monitored breastfeeding can prevent transmission.  We cannot eliminate an undetected virus.</w:t>
      </w:r>
    </w:p>
    <w:p w:rsidR="00687CF9" w:rsidRDefault="00687CF9" w:rsidP="00A000CB">
      <w:pPr>
        <w:ind w:left="720" w:hanging="720"/>
      </w:pPr>
    </w:p>
    <w:p w:rsidR="00A000CB" w:rsidRDefault="00EE467F" w:rsidP="00A000CB">
      <w:pPr>
        <w:ind w:left="720" w:hanging="720"/>
      </w:pPr>
      <w:r>
        <w:t>This blood borne virus c</w:t>
      </w:r>
      <w:r w:rsidR="00A000CB">
        <w:t xml:space="preserve">auses </w:t>
      </w:r>
      <w:r w:rsidR="00687CF9">
        <w:t>2 devastating complications:</w:t>
      </w:r>
    </w:p>
    <w:p w:rsidR="00A000CB" w:rsidRDefault="00A000CB" w:rsidP="00A000CB">
      <w:pPr>
        <w:ind w:left="720"/>
      </w:pPr>
      <w:r>
        <w:t>Adult T cell lymphoma/leukaemia (ATL)</w:t>
      </w:r>
    </w:p>
    <w:p w:rsidR="00A000CB" w:rsidRDefault="00A000CB" w:rsidP="00A000CB">
      <w:pPr>
        <w:ind w:left="720"/>
      </w:pPr>
      <w:r>
        <w:t>HTLV associated myelopathy</w:t>
      </w:r>
      <w:r w:rsidR="00EE467F">
        <w:t xml:space="preserve"> (HAM), which is a systemic inflammatory condition</w:t>
      </w:r>
    </w:p>
    <w:p w:rsidR="00687CF9" w:rsidRDefault="00687CF9" w:rsidP="00A000CB"/>
    <w:p w:rsidR="00EE467F" w:rsidRDefault="00687CF9" w:rsidP="00A000CB">
      <w:r>
        <w:t>However, it is also associated with a variety of different conditions</w:t>
      </w:r>
      <w:r w:rsidR="00971FF5">
        <w:t xml:space="preserve">, and thus can present to a variety </w:t>
      </w:r>
      <w:r>
        <w:t>of clinical</w:t>
      </w:r>
      <w:r w:rsidR="009A31AA">
        <w:t xml:space="preserve"> specialists: haematology, neurology, urology, ophthalmology, rheumatology, </w:t>
      </w:r>
      <w:r w:rsidR="009A31AA">
        <w:lastRenderedPageBreak/>
        <w:t>endocrinology, HIV and infectious disease.  Have you considered HTLV infection</w:t>
      </w:r>
      <w:r>
        <w:t xml:space="preserve"> in your patient group</w:t>
      </w:r>
      <w:r w:rsidR="009A31AA">
        <w:t>?</w:t>
      </w:r>
    </w:p>
    <w:tbl>
      <w:tblPr>
        <w:tblStyle w:val="PlainTable1"/>
        <w:tblW w:w="0" w:type="auto"/>
        <w:tblLook w:val="04A0" w:firstRow="1" w:lastRow="0" w:firstColumn="1" w:lastColumn="0" w:noHBand="0" w:noVBand="1"/>
      </w:tblPr>
      <w:tblGrid>
        <w:gridCol w:w="3005"/>
        <w:gridCol w:w="3005"/>
        <w:gridCol w:w="3006"/>
      </w:tblGrid>
      <w:tr w:rsidR="00EE467F" w:rsidRPr="003F22D7" w:rsidTr="00756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gridSpan w:val="2"/>
          </w:tcPr>
          <w:p w:rsidR="00EE467F" w:rsidRPr="003F22D7" w:rsidRDefault="00EE467F" w:rsidP="00BC7B57">
            <w:pPr>
              <w:pStyle w:val="Subtitle"/>
            </w:pPr>
            <w:r w:rsidRPr="003F22D7">
              <w:t>Causal Association demonstrated with disease</w:t>
            </w:r>
          </w:p>
        </w:tc>
        <w:tc>
          <w:tcPr>
            <w:tcW w:w="3006" w:type="dxa"/>
          </w:tcPr>
          <w:p w:rsidR="00EE467F" w:rsidRPr="003F22D7" w:rsidRDefault="00EE467F" w:rsidP="00BC7B57">
            <w:pPr>
              <w:pStyle w:val="Subtitle"/>
              <w:cnfStyle w:val="100000000000" w:firstRow="1" w:lastRow="0" w:firstColumn="0" w:lastColumn="0" w:oddVBand="0" w:evenVBand="0" w:oddHBand="0" w:evenHBand="0" w:firstRowFirstColumn="0" w:firstRowLastColumn="0" w:lastRowFirstColumn="0" w:lastRowLastColumn="0"/>
            </w:pPr>
            <w:r w:rsidRPr="003F22D7">
              <w:t>Higher prevalence and/or worse outcome</w:t>
            </w:r>
          </w:p>
        </w:tc>
      </w:tr>
      <w:tr w:rsidR="00EE467F" w:rsidRPr="003F22D7" w:rsidTr="00756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r w:rsidRPr="003F22D7">
              <w:t>Malignancy</w:t>
            </w:r>
          </w:p>
        </w:tc>
        <w:tc>
          <w:tcPr>
            <w:tcW w:w="3005"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rPr>
                <w:b/>
                <w:bCs/>
              </w:rPr>
            </w:pPr>
            <w:r w:rsidRPr="003F22D7">
              <w:rPr>
                <w:b/>
                <w:bCs/>
              </w:rPr>
              <w:t>Inflammatory</w:t>
            </w:r>
          </w:p>
        </w:tc>
        <w:tc>
          <w:tcPr>
            <w:tcW w:w="3006"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rPr>
                <w:b/>
                <w:bCs/>
              </w:rPr>
            </w:pPr>
            <w:r w:rsidRPr="003F22D7">
              <w:rPr>
                <w:b/>
                <w:bCs/>
              </w:rPr>
              <w:t>Co-infection</w:t>
            </w:r>
          </w:p>
        </w:tc>
      </w:tr>
      <w:tr w:rsidR="00EE467F" w:rsidRPr="003F22D7" w:rsidTr="0075618B">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971FF5" w:rsidP="00BC7B57">
            <w:pPr>
              <w:pStyle w:val="Subtitle"/>
              <w:rPr>
                <w:b w:val="0"/>
                <w:bCs w:val="0"/>
              </w:rPr>
            </w:pPr>
            <w:r>
              <w:rPr>
                <w:b w:val="0"/>
                <w:bCs w:val="0"/>
              </w:rPr>
              <w:t>Adult T cell leukaemia/lymphoma</w:t>
            </w:r>
          </w:p>
        </w:tc>
        <w:tc>
          <w:tcPr>
            <w:tcW w:w="3005"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r w:rsidRPr="003F22D7">
              <w:t xml:space="preserve">Myelopathy </w:t>
            </w:r>
          </w:p>
        </w:tc>
        <w:tc>
          <w:tcPr>
            <w:tcW w:w="3006"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proofErr w:type="spellStart"/>
            <w:r w:rsidRPr="003F22D7">
              <w:t>Strongyloides</w:t>
            </w:r>
            <w:proofErr w:type="spellEnd"/>
            <w:r w:rsidRPr="003F22D7">
              <w:t xml:space="preserve"> </w:t>
            </w:r>
            <w:proofErr w:type="spellStart"/>
            <w:r w:rsidRPr="003F22D7">
              <w:t>stercoralis</w:t>
            </w:r>
            <w:proofErr w:type="spellEnd"/>
          </w:p>
        </w:tc>
      </w:tr>
      <w:tr w:rsidR="00EE467F" w:rsidRPr="003F22D7" w:rsidTr="00756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 xml:space="preserve">Encephalitis </w:t>
            </w:r>
          </w:p>
        </w:tc>
        <w:tc>
          <w:tcPr>
            <w:tcW w:w="3006"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Mycobacterium tuberculosis</w:t>
            </w:r>
          </w:p>
        </w:tc>
      </w:tr>
      <w:tr w:rsidR="00EE467F" w:rsidRPr="003F22D7" w:rsidTr="0075618B">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proofErr w:type="spellStart"/>
            <w:r w:rsidRPr="003F22D7">
              <w:t>Kerato</w:t>
            </w:r>
            <w:proofErr w:type="spellEnd"/>
            <w:r w:rsidRPr="003F22D7">
              <w:t xml:space="preserve">-conjunctivitis </w:t>
            </w:r>
            <w:proofErr w:type="spellStart"/>
            <w:r w:rsidRPr="003F22D7">
              <w:t>sicca</w:t>
            </w:r>
            <w:proofErr w:type="spellEnd"/>
            <w:r w:rsidRPr="003F22D7">
              <w:t xml:space="preserve"> </w:t>
            </w:r>
          </w:p>
        </w:tc>
        <w:tc>
          <w:tcPr>
            <w:tcW w:w="3006"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r w:rsidRPr="003F22D7">
              <w:t xml:space="preserve">HIV </w:t>
            </w:r>
          </w:p>
        </w:tc>
      </w:tr>
      <w:tr w:rsidR="00EE467F" w:rsidRPr="003F22D7" w:rsidTr="00756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 xml:space="preserve">Uveitis </w:t>
            </w:r>
          </w:p>
        </w:tc>
        <w:tc>
          <w:tcPr>
            <w:tcW w:w="3006"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 xml:space="preserve">Mycobacterium </w:t>
            </w:r>
            <w:proofErr w:type="spellStart"/>
            <w:r w:rsidRPr="003F22D7">
              <w:t>leprae</w:t>
            </w:r>
            <w:proofErr w:type="spellEnd"/>
          </w:p>
        </w:tc>
      </w:tr>
      <w:tr w:rsidR="00EE467F" w:rsidRPr="003F22D7" w:rsidTr="0075618B">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r w:rsidRPr="003F22D7">
              <w:t>Thyroiditis</w:t>
            </w:r>
          </w:p>
        </w:tc>
        <w:tc>
          <w:tcPr>
            <w:tcW w:w="3006"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r w:rsidRPr="003F22D7">
              <w:t>Syphilis</w:t>
            </w:r>
          </w:p>
        </w:tc>
      </w:tr>
      <w:tr w:rsidR="00EE467F" w:rsidRPr="003F22D7" w:rsidTr="00756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Bronchiectasis</w:t>
            </w:r>
          </w:p>
        </w:tc>
        <w:tc>
          <w:tcPr>
            <w:tcW w:w="3006"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Chlamydia trachomatis</w:t>
            </w:r>
          </w:p>
        </w:tc>
      </w:tr>
      <w:tr w:rsidR="00EE467F" w:rsidRPr="003F22D7" w:rsidTr="0075618B">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r w:rsidRPr="003F22D7">
              <w:t>(Infective) Dermatitis</w:t>
            </w:r>
          </w:p>
        </w:tc>
        <w:tc>
          <w:tcPr>
            <w:tcW w:w="3006"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r w:rsidRPr="003F22D7">
              <w:t>Human papillomavirus</w:t>
            </w:r>
          </w:p>
        </w:tc>
      </w:tr>
      <w:tr w:rsidR="00EE467F" w:rsidRPr="003F22D7" w:rsidTr="00756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r w:rsidRPr="003F22D7">
              <w:t>Seronegative arthritis</w:t>
            </w:r>
          </w:p>
        </w:tc>
        <w:tc>
          <w:tcPr>
            <w:tcW w:w="3006" w:type="dxa"/>
          </w:tcPr>
          <w:p w:rsidR="00EE467F" w:rsidRPr="003F22D7" w:rsidRDefault="00EE467F" w:rsidP="00BC7B57">
            <w:pPr>
              <w:pStyle w:val="Subtitle"/>
              <w:cnfStyle w:val="000000100000" w:firstRow="0" w:lastRow="0" w:firstColumn="0" w:lastColumn="0" w:oddVBand="0" w:evenVBand="0" w:oddHBand="1" w:evenHBand="0" w:firstRowFirstColumn="0" w:firstRowLastColumn="0" w:lastRowFirstColumn="0" w:lastRowLastColumn="0"/>
            </w:pPr>
            <w:proofErr w:type="spellStart"/>
            <w:r w:rsidRPr="003F22D7">
              <w:t>Schistosoma</w:t>
            </w:r>
            <w:proofErr w:type="spellEnd"/>
            <w:r w:rsidRPr="003F22D7">
              <w:t xml:space="preserve"> </w:t>
            </w:r>
            <w:proofErr w:type="spellStart"/>
            <w:r w:rsidRPr="003F22D7">
              <w:t>mansoni</w:t>
            </w:r>
            <w:proofErr w:type="spellEnd"/>
          </w:p>
        </w:tc>
      </w:tr>
      <w:tr w:rsidR="00EE467F" w:rsidRPr="003F22D7" w:rsidTr="0075618B">
        <w:tc>
          <w:tcPr>
            <w:cnfStyle w:val="001000000000" w:firstRow="0" w:lastRow="0" w:firstColumn="1" w:lastColumn="0" w:oddVBand="0" w:evenVBand="0" w:oddHBand="0" w:evenHBand="0" w:firstRowFirstColumn="0" w:firstRowLastColumn="0" w:lastRowFirstColumn="0" w:lastRowLastColumn="0"/>
            <w:tcW w:w="3005" w:type="dxa"/>
          </w:tcPr>
          <w:p w:rsidR="00EE467F" w:rsidRPr="003F22D7" w:rsidRDefault="00EE467F" w:rsidP="00BC7B57">
            <w:pPr>
              <w:pStyle w:val="Subtitle"/>
            </w:pPr>
          </w:p>
        </w:tc>
        <w:tc>
          <w:tcPr>
            <w:tcW w:w="3005"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proofErr w:type="spellStart"/>
            <w:r w:rsidRPr="003F22D7">
              <w:t>Polymyositis</w:t>
            </w:r>
            <w:proofErr w:type="spellEnd"/>
          </w:p>
        </w:tc>
        <w:tc>
          <w:tcPr>
            <w:tcW w:w="3006" w:type="dxa"/>
          </w:tcPr>
          <w:p w:rsidR="00EE467F" w:rsidRPr="003F22D7" w:rsidRDefault="00EE467F" w:rsidP="00BC7B57">
            <w:pPr>
              <w:pStyle w:val="Subtitle"/>
              <w:cnfStyle w:val="000000000000" w:firstRow="0" w:lastRow="0" w:firstColumn="0" w:lastColumn="0" w:oddVBand="0" w:evenVBand="0" w:oddHBand="0" w:evenHBand="0" w:firstRowFirstColumn="0" w:firstRowLastColumn="0" w:lastRowFirstColumn="0" w:lastRowLastColumn="0"/>
            </w:pPr>
          </w:p>
        </w:tc>
      </w:tr>
    </w:tbl>
    <w:p w:rsidR="00EE467F" w:rsidRDefault="00EE467F" w:rsidP="00A000CB"/>
    <w:p w:rsidR="009A31AA" w:rsidRDefault="00F41FF3" w:rsidP="00A000CB">
      <w:r w:rsidRPr="00687CF9">
        <w:rPr>
          <w:b/>
        </w:rPr>
        <w:t>Occupational</w:t>
      </w:r>
      <w:r w:rsidR="009A31AA" w:rsidRPr="00687CF9">
        <w:rPr>
          <w:b/>
        </w:rPr>
        <w:t xml:space="preserve"> </w:t>
      </w:r>
      <w:proofErr w:type="spellStart"/>
      <w:r w:rsidR="009A31AA" w:rsidRPr="00687CF9">
        <w:rPr>
          <w:b/>
        </w:rPr>
        <w:t>Needlestick</w:t>
      </w:r>
      <w:proofErr w:type="spellEnd"/>
      <w:r w:rsidR="009A31AA" w:rsidRPr="00687CF9">
        <w:rPr>
          <w:b/>
        </w:rPr>
        <w:t xml:space="preserve"> Injury</w:t>
      </w:r>
      <w:r>
        <w:t xml:space="preserve"> at Imperial College Healthcare NHS </w:t>
      </w:r>
      <w:r w:rsidR="00045E2A">
        <w:t>Trust –</w:t>
      </w:r>
      <w:r w:rsidR="009A31AA">
        <w:t xml:space="preserve"> all source patients to be tested for HTLV infection, and </w:t>
      </w:r>
      <w:r w:rsidR="004755D6">
        <w:t xml:space="preserve">recipients </w:t>
      </w:r>
      <w:r w:rsidR="009A31AA">
        <w:t>considered for post exposure prophylaxis against HTLV</w:t>
      </w:r>
      <w:r w:rsidR="004755D6">
        <w:t xml:space="preserve"> with </w:t>
      </w:r>
      <w:proofErr w:type="spellStart"/>
      <w:r w:rsidR="004755D6">
        <w:t>Truvada</w:t>
      </w:r>
      <w:proofErr w:type="spellEnd"/>
      <w:r w:rsidR="004755D6">
        <w:t xml:space="preserve"> and </w:t>
      </w:r>
      <w:proofErr w:type="spellStart"/>
      <w:r w:rsidR="004755D6">
        <w:t>Raltegravir</w:t>
      </w:r>
      <w:proofErr w:type="spellEnd"/>
      <w:r w:rsidR="004755D6">
        <w:t xml:space="preserve"> in accordance with </w:t>
      </w:r>
      <w:r>
        <w:t>Trust guidelines.</w:t>
      </w:r>
    </w:p>
    <w:p w:rsidR="00386042" w:rsidRPr="00386042" w:rsidRDefault="00386042" w:rsidP="00820C8F">
      <w:pPr>
        <w:ind w:left="720"/>
      </w:pPr>
    </w:p>
    <w:sectPr w:rsidR="00386042" w:rsidRPr="00386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CB"/>
    <w:rsid w:val="00045E2A"/>
    <w:rsid w:val="00386042"/>
    <w:rsid w:val="004755D6"/>
    <w:rsid w:val="005122B4"/>
    <w:rsid w:val="00523384"/>
    <w:rsid w:val="00687CF9"/>
    <w:rsid w:val="0075618B"/>
    <w:rsid w:val="00820C8F"/>
    <w:rsid w:val="00971FF5"/>
    <w:rsid w:val="009A31AA"/>
    <w:rsid w:val="00A000CB"/>
    <w:rsid w:val="00A01D1E"/>
    <w:rsid w:val="00AB20C5"/>
    <w:rsid w:val="00BD0640"/>
    <w:rsid w:val="00C21A3B"/>
    <w:rsid w:val="00C33E99"/>
    <w:rsid w:val="00EE467F"/>
    <w:rsid w:val="00F11BA7"/>
    <w:rsid w:val="00F41FF3"/>
    <w:rsid w:val="00F6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9530"/>
  <w15:chartTrackingRefBased/>
  <w15:docId w15:val="{3D096674-74A2-499B-BD6C-33E1844C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E46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67F"/>
    <w:rPr>
      <w:rFonts w:eastAsiaTheme="minorEastAsia"/>
      <w:color w:val="5A5A5A" w:themeColor="text1" w:themeTint="A5"/>
      <w:spacing w:val="15"/>
    </w:rPr>
  </w:style>
  <w:style w:type="table" w:styleId="GridTable1Light">
    <w:name w:val="Grid Table 1 Light"/>
    <w:basedOn w:val="TableNormal"/>
    <w:uiPriority w:val="46"/>
    <w:rsid w:val="00EE46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20C8F"/>
    <w:rPr>
      <w:color w:val="0000FF" w:themeColor="hyperlink"/>
      <w:u w:val="single"/>
    </w:rPr>
  </w:style>
  <w:style w:type="character" w:styleId="FollowedHyperlink">
    <w:name w:val="FollowedHyperlink"/>
    <w:basedOn w:val="DefaultParagraphFont"/>
    <w:uiPriority w:val="99"/>
    <w:semiHidden/>
    <w:unhideWhenUsed/>
    <w:rsid w:val="00BD0640"/>
    <w:rPr>
      <w:color w:val="800080" w:themeColor="followedHyperlink"/>
      <w:u w:val="single"/>
    </w:rPr>
  </w:style>
  <w:style w:type="paragraph" w:styleId="Title">
    <w:name w:val="Title"/>
    <w:basedOn w:val="Normal"/>
    <w:next w:val="Normal"/>
    <w:link w:val="TitleChar"/>
    <w:uiPriority w:val="10"/>
    <w:qFormat/>
    <w:rsid w:val="00971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FF5"/>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7561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womens-health-migrant-health-guide" TargetMode="External"/><Relationship Id="rId5" Type="http://schemas.openxmlformats.org/officeDocument/2006/relationships/hyperlink" Target="https://www.gov.uk/guidance/sexually-transmitted-infections-stis-migrant-health-gui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Dhasmana, Divya</dc:creator>
  <cp:keywords/>
  <dc:description/>
  <cp:lastModifiedBy>Dhasmana, Divya</cp:lastModifiedBy>
  <cp:revision>2</cp:revision>
  <dcterms:created xsi:type="dcterms:W3CDTF">2023-11-08T08:53:00Z</dcterms:created>
  <dcterms:modified xsi:type="dcterms:W3CDTF">2023-11-08T08:53:00Z</dcterms:modified>
</cp:coreProperties>
</file>